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AB" w:rsidRPr="00561EAB" w:rsidRDefault="00695DAB" w:rsidP="00561EAB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AA59C8" w:rsidRPr="00561EAB" w:rsidRDefault="00561EAB" w:rsidP="00561EA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 w:rsidRPr="00561EAB">
        <w:rPr>
          <w:rFonts w:ascii="Tahoma" w:hAnsi="Tahoma" w:cs="Tahoma"/>
          <w:sz w:val="20"/>
          <w:szCs w:val="20"/>
        </w:rPr>
        <w:t>To lay down the procedure for Labelling of Equipment/Container and colour coding of Labels.</w:t>
      </w:r>
      <w:proofErr w:type="gramEnd"/>
      <w:r w:rsidRPr="00561EAB">
        <w:rPr>
          <w:rFonts w:ascii="Tahoma" w:hAnsi="Tahoma" w:cs="Tahoma"/>
          <w:sz w:val="20"/>
          <w:szCs w:val="20"/>
        </w:rPr>
        <w:t xml:space="preserve">  </w:t>
      </w:r>
    </w:p>
    <w:p w:rsidR="00561EAB" w:rsidRPr="00561EAB" w:rsidRDefault="00695DAB" w:rsidP="00561EAB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b/>
          <w:bCs/>
          <w:sz w:val="20"/>
          <w:szCs w:val="20"/>
        </w:rPr>
        <w:t>Scope</w:t>
      </w:r>
    </w:p>
    <w:p w:rsidR="00561EAB" w:rsidRPr="00561EAB" w:rsidRDefault="00561EAB" w:rsidP="00561EAB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sz w:val="20"/>
          <w:szCs w:val="20"/>
        </w:rPr>
        <w:t>This SOP is applicable for Labelling of Equipment/Container and colour coding of Labels in</w:t>
      </w:r>
      <w:r w:rsidRPr="00561EAB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561EAB">
        <w:rPr>
          <w:rFonts w:ascii="Tahoma" w:hAnsi="Tahoma" w:cs="Tahoma"/>
          <w:bCs/>
          <w:sz w:val="20"/>
          <w:szCs w:val="20"/>
        </w:rPr>
        <w:t>Alkem</w:t>
      </w:r>
      <w:proofErr w:type="spellEnd"/>
      <w:r w:rsidRPr="00561EAB">
        <w:rPr>
          <w:rFonts w:ascii="Tahoma" w:hAnsi="Tahoma" w:cs="Tahoma"/>
          <w:bCs/>
          <w:sz w:val="20"/>
          <w:szCs w:val="20"/>
        </w:rPr>
        <w:t xml:space="preserve"> Laboratories Ltd. Unit-II </w:t>
      </w:r>
      <w:proofErr w:type="spellStart"/>
      <w:r w:rsidRPr="00561EAB">
        <w:rPr>
          <w:rFonts w:ascii="Tahoma" w:hAnsi="Tahoma" w:cs="Tahoma"/>
          <w:bCs/>
          <w:sz w:val="20"/>
          <w:szCs w:val="20"/>
        </w:rPr>
        <w:t>Baddi</w:t>
      </w:r>
      <w:proofErr w:type="spellEnd"/>
      <w:r w:rsidRPr="00561EAB">
        <w:rPr>
          <w:rFonts w:ascii="Tahoma" w:hAnsi="Tahoma" w:cs="Tahoma"/>
          <w:bCs/>
          <w:sz w:val="20"/>
          <w:szCs w:val="20"/>
        </w:rPr>
        <w:t>.</w:t>
      </w:r>
    </w:p>
    <w:p w:rsidR="00695DAB" w:rsidRPr="00561EAB" w:rsidRDefault="00695DAB" w:rsidP="00561EAB">
      <w:pPr>
        <w:pStyle w:val="ListParagraph"/>
        <w:spacing w:line="360" w:lineRule="auto"/>
        <w:rPr>
          <w:rFonts w:ascii="Tahoma" w:hAnsi="Tahoma" w:cs="Tahoma"/>
          <w:sz w:val="20"/>
          <w:szCs w:val="20"/>
        </w:rPr>
      </w:pPr>
      <w:r w:rsidRPr="00561EAB">
        <w:rPr>
          <w:rFonts w:ascii="Tahoma" w:hAnsi="Tahoma" w:cs="Tahoma"/>
          <w:sz w:val="20"/>
          <w:szCs w:val="20"/>
        </w:rPr>
        <w:t>Responsibility</w:t>
      </w:r>
    </w:p>
    <w:p w:rsidR="00695DAB" w:rsidRPr="00561EAB" w:rsidRDefault="008E2E89" w:rsidP="00561EA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sz w:val="20"/>
          <w:szCs w:val="20"/>
        </w:rPr>
        <w:t xml:space="preserve">Officer/ Executive: </w:t>
      </w:r>
      <w:r w:rsidR="00695DAB" w:rsidRPr="00561EAB">
        <w:rPr>
          <w:rFonts w:ascii="Tahoma" w:hAnsi="Tahoma" w:cs="Tahoma"/>
          <w:sz w:val="20"/>
          <w:szCs w:val="20"/>
        </w:rPr>
        <w:t xml:space="preserve">Concerned Department </w:t>
      </w:r>
    </w:p>
    <w:p w:rsidR="00E523AB" w:rsidRPr="00561EAB" w:rsidRDefault="00695DAB" w:rsidP="00561EAB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561EAB" w:rsidRPr="00561EAB" w:rsidRDefault="00561EAB" w:rsidP="00561EA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sz w:val="20"/>
          <w:szCs w:val="20"/>
        </w:rPr>
        <w:t xml:space="preserve">Production Manager/Asst. Production Manager   </w:t>
      </w:r>
    </w:p>
    <w:p w:rsidR="000A788F" w:rsidRPr="00561EAB" w:rsidRDefault="00E523AB" w:rsidP="00561EAB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b/>
          <w:bCs/>
          <w:sz w:val="20"/>
          <w:szCs w:val="20"/>
        </w:rPr>
        <w:t>Procedure</w:t>
      </w:r>
    </w:p>
    <w:p w:rsidR="00561EAB" w:rsidRPr="00561EAB" w:rsidRDefault="00561EAB" w:rsidP="00561EAB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proofErr w:type="spellStart"/>
      <w:r w:rsidRPr="00561EAB">
        <w:rPr>
          <w:rFonts w:ascii="Tahoma" w:hAnsi="Tahoma" w:cs="Tahoma"/>
          <w:b/>
          <w:bCs/>
          <w:sz w:val="20"/>
          <w:szCs w:val="20"/>
        </w:rPr>
        <w:t>Recoverable</w:t>
      </w:r>
      <w:r w:rsidRPr="00561EAB">
        <w:rPr>
          <w:rFonts w:ascii="Tahoma" w:hAnsi="Tahoma" w:cs="Tahoma"/>
          <w:sz w:val="20"/>
          <w:szCs w:val="20"/>
        </w:rPr>
        <w:t>Containers</w:t>
      </w:r>
      <w:proofErr w:type="spellEnd"/>
      <w:r w:rsidRPr="00561EAB">
        <w:rPr>
          <w:rFonts w:ascii="Tahoma" w:hAnsi="Tahoma" w:cs="Tahoma"/>
          <w:sz w:val="20"/>
          <w:szCs w:val="20"/>
        </w:rPr>
        <w:t xml:space="preserve"> containing  recoverable Tablets/Capsules shall be labeled as “RECOVERABLES”  having Half “RED” and half “YELLOW” colour as shown in Annexure-I</w:t>
      </w:r>
    </w:p>
    <w:p w:rsidR="00561EAB" w:rsidRPr="00561EAB" w:rsidRDefault="00561EAB" w:rsidP="00561EAB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b/>
          <w:bCs/>
          <w:sz w:val="20"/>
          <w:szCs w:val="20"/>
        </w:rPr>
        <w:t>NON RECOVERABLES:</w:t>
      </w:r>
    </w:p>
    <w:p w:rsidR="00561EAB" w:rsidRPr="00561EAB" w:rsidRDefault="00561EAB" w:rsidP="00605B86">
      <w:pPr>
        <w:pStyle w:val="ListParagraph"/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sz w:val="20"/>
          <w:szCs w:val="20"/>
        </w:rPr>
        <w:t>Containers containing non recoverable Tablets/Capsules shall be labeled as                                         “NON RECOVERABLES” Having “RED” colour as shown in Annexure-II</w:t>
      </w:r>
    </w:p>
    <w:p w:rsidR="00561EAB" w:rsidRPr="00561EAB" w:rsidRDefault="00561EAB" w:rsidP="00561EAB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b/>
          <w:bCs/>
          <w:sz w:val="20"/>
          <w:szCs w:val="20"/>
        </w:rPr>
        <w:t>TO BE CLEANED</w:t>
      </w:r>
    </w:p>
    <w:p w:rsidR="00561EAB" w:rsidRPr="00561EAB" w:rsidRDefault="00561EAB" w:rsidP="00605B86">
      <w:pPr>
        <w:pStyle w:val="ListParagraph"/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sz w:val="20"/>
          <w:szCs w:val="20"/>
        </w:rPr>
        <w:t xml:space="preserve">Containers/Equipments kept for cleaning shall be labeled as “TO BE CLEANED” having “LIGHT BLUE” </w:t>
      </w:r>
      <w:proofErr w:type="spellStart"/>
      <w:r w:rsidRPr="00561EAB">
        <w:rPr>
          <w:rFonts w:ascii="Tahoma" w:hAnsi="Tahoma" w:cs="Tahoma"/>
          <w:sz w:val="20"/>
          <w:szCs w:val="20"/>
        </w:rPr>
        <w:t>colour</w:t>
      </w:r>
      <w:proofErr w:type="spellEnd"/>
      <w:r w:rsidRPr="00561EAB">
        <w:rPr>
          <w:rFonts w:ascii="Tahoma" w:hAnsi="Tahoma" w:cs="Tahoma"/>
          <w:sz w:val="20"/>
          <w:szCs w:val="20"/>
        </w:rPr>
        <w:t xml:space="preserve"> as shown in Annexure-III. </w:t>
      </w:r>
      <w:r w:rsidR="003B05D0" w:rsidRPr="00561EAB">
        <w:rPr>
          <w:rFonts w:ascii="Tahoma" w:hAnsi="Tahoma" w:cs="Tahoma"/>
          <w:sz w:val="20"/>
          <w:szCs w:val="20"/>
        </w:rPr>
        <w:t>And</w:t>
      </w:r>
      <w:r w:rsidRPr="00561EAB">
        <w:rPr>
          <w:rFonts w:ascii="Tahoma" w:hAnsi="Tahoma" w:cs="Tahoma"/>
          <w:sz w:val="20"/>
          <w:szCs w:val="20"/>
        </w:rPr>
        <w:t xml:space="preserve"> shall be valid for 48 hours after the cleaning. </w:t>
      </w:r>
    </w:p>
    <w:p w:rsidR="00561EAB" w:rsidRPr="00561EAB" w:rsidRDefault="00561EAB" w:rsidP="00561EAB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b/>
          <w:bCs/>
          <w:sz w:val="20"/>
          <w:szCs w:val="20"/>
        </w:rPr>
        <w:t>CLEANED:</w:t>
      </w:r>
    </w:p>
    <w:p w:rsidR="00561EAB" w:rsidRPr="00561EAB" w:rsidRDefault="00561EAB" w:rsidP="00605B86">
      <w:pPr>
        <w:pStyle w:val="ListParagraph"/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sz w:val="20"/>
          <w:szCs w:val="20"/>
        </w:rPr>
        <w:t>Cleaned containers/Equipment shall be labeled as “</w:t>
      </w:r>
      <w:r w:rsidR="003B05D0" w:rsidRPr="00561EAB">
        <w:rPr>
          <w:rFonts w:ascii="Tahoma" w:hAnsi="Tahoma" w:cs="Tahoma"/>
          <w:sz w:val="20"/>
          <w:szCs w:val="20"/>
        </w:rPr>
        <w:t>CLEANED “having</w:t>
      </w:r>
      <w:r w:rsidRPr="00561EAB">
        <w:rPr>
          <w:rFonts w:ascii="Tahoma" w:hAnsi="Tahoma" w:cs="Tahoma"/>
          <w:sz w:val="20"/>
          <w:szCs w:val="20"/>
        </w:rPr>
        <w:t xml:space="preserve"> “GREEN” </w:t>
      </w:r>
      <w:r w:rsidR="003B05D0" w:rsidRPr="00561EAB">
        <w:rPr>
          <w:rFonts w:ascii="Tahoma" w:hAnsi="Tahoma" w:cs="Tahoma"/>
          <w:sz w:val="20"/>
          <w:szCs w:val="20"/>
        </w:rPr>
        <w:t>colour as</w:t>
      </w:r>
      <w:r w:rsidRPr="00561EAB">
        <w:rPr>
          <w:rFonts w:ascii="Tahoma" w:hAnsi="Tahoma" w:cs="Tahoma"/>
          <w:sz w:val="20"/>
          <w:szCs w:val="20"/>
        </w:rPr>
        <w:t xml:space="preserve"> shown in Annexure-IV and shall be valid for 72 hrs,</w:t>
      </w:r>
      <w:r w:rsidR="003B05D0">
        <w:rPr>
          <w:rFonts w:ascii="Tahoma" w:hAnsi="Tahoma" w:cs="Tahoma"/>
          <w:sz w:val="20"/>
          <w:szCs w:val="20"/>
        </w:rPr>
        <w:t xml:space="preserve"> </w:t>
      </w:r>
      <w:r w:rsidRPr="00561EAB">
        <w:rPr>
          <w:rFonts w:ascii="Tahoma" w:hAnsi="Tahoma" w:cs="Tahoma"/>
          <w:sz w:val="20"/>
          <w:szCs w:val="20"/>
        </w:rPr>
        <w:t>after 72 hrs containers/Equipment shall be cleaned for “Type B” cleaning.</w:t>
      </w:r>
    </w:p>
    <w:p w:rsidR="00561EAB" w:rsidRPr="00561EAB" w:rsidRDefault="00561EAB" w:rsidP="00561EAB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b/>
          <w:bCs/>
          <w:sz w:val="20"/>
          <w:szCs w:val="20"/>
        </w:rPr>
        <w:t>CONTAINER LABEL:</w:t>
      </w:r>
    </w:p>
    <w:p w:rsidR="00561EAB" w:rsidRPr="00561EAB" w:rsidRDefault="00561EAB" w:rsidP="00605B86">
      <w:pPr>
        <w:pStyle w:val="ListParagraph"/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sz w:val="20"/>
          <w:szCs w:val="20"/>
        </w:rPr>
        <w:t xml:space="preserve">Status of </w:t>
      </w:r>
      <w:r w:rsidR="003B05D0" w:rsidRPr="00561EAB">
        <w:rPr>
          <w:rFonts w:ascii="Tahoma" w:hAnsi="Tahoma" w:cs="Tahoma"/>
          <w:sz w:val="20"/>
          <w:szCs w:val="20"/>
        </w:rPr>
        <w:t>container (</w:t>
      </w:r>
      <w:r w:rsidRPr="00561EAB">
        <w:rPr>
          <w:rFonts w:ascii="Tahoma" w:hAnsi="Tahoma" w:cs="Tahoma"/>
          <w:sz w:val="20"/>
          <w:szCs w:val="20"/>
        </w:rPr>
        <w:t>HDPE) is shown by the “</w:t>
      </w:r>
      <w:r w:rsidR="003B05D0" w:rsidRPr="00561EAB">
        <w:rPr>
          <w:rFonts w:ascii="Tahoma" w:hAnsi="Tahoma" w:cs="Tahoma"/>
          <w:sz w:val="20"/>
          <w:szCs w:val="20"/>
        </w:rPr>
        <w:t>YELLOW “colour</w:t>
      </w:r>
      <w:r w:rsidRPr="00561EAB">
        <w:rPr>
          <w:rFonts w:ascii="Tahoma" w:hAnsi="Tahoma" w:cs="Tahoma"/>
          <w:sz w:val="20"/>
          <w:szCs w:val="20"/>
        </w:rPr>
        <w:t xml:space="preserve"> Label as shown in Annexure-V.</w:t>
      </w:r>
    </w:p>
    <w:p w:rsidR="00561EAB" w:rsidRPr="00561EAB" w:rsidRDefault="00561EAB" w:rsidP="00561EAB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b/>
          <w:bCs/>
          <w:sz w:val="20"/>
          <w:szCs w:val="20"/>
        </w:rPr>
        <w:lastRenderedPageBreak/>
        <w:t>STATUS LABEL:</w:t>
      </w:r>
    </w:p>
    <w:p w:rsidR="00561EAB" w:rsidRPr="00561EAB" w:rsidRDefault="00561EAB" w:rsidP="00605B86">
      <w:pPr>
        <w:pStyle w:val="ListParagraph"/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sz w:val="20"/>
          <w:szCs w:val="20"/>
        </w:rPr>
        <w:t>Status of Process</w:t>
      </w:r>
      <w:r w:rsidR="003B05D0">
        <w:rPr>
          <w:rFonts w:ascii="Tahoma" w:hAnsi="Tahoma" w:cs="Tahoma"/>
          <w:sz w:val="20"/>
          <w:szCs w:val="20"/>
        </w:rPr>
        <w:t xml:space="preserve">/Area and Equipment </w:t>
      </w:r>
      <w:r w:rsidRPr="00561EAB">
        <w:rPr>
          <w:rFonts w:ascii="Tahoma" w:hAnsi="Tahoma" w:cs="Tahoma"/>
          <w:sz w:val="20"/>
          <w:szCs w:val="20"/>
        </w:rPr>
        <w:t xml:space="preserve">indicate by label in “WHITE” colour as shown in Annexure-VI.    </w:t>
      </w:r>
    </w:p>
    <w:p w:rsidR="00605B86" w:rsidRPr="00605B86" w:rsidRDefault="00561EAB" w:rsidP="00605B86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561EAB">
        <w:rPr>
          <w:rFonts w:ascii="Tahoma" w:hAnsi="Tahoma" w:cs="Tahoma"/>
          <w:b/>
          <w:bCs/>
          <w:sz w:val="20"/>
          <w:szCs w:val="20"/>
        </w:rPr>
        <w:t>LOOSE BOX:</w:t>
      </w:r>
    </w:p>
    <w:p w:rsidR="00605B86" w:rsidRPr="00605B86" w:rsidRDefault="00561EAB" w:rsidP="00605B86">
      <w:pPr>
        <w:pStyle w:val="ListParagraph"/>
        <w:spacing w:line="360" w:lineRule="auto"/>
        <w:ind w:left="1360"/>
        <w:rPr>
          <w:rFonts w:ascii="Tahoma" w:hAnsi="Tahoma" w:cs="Tahoma"/>
          <w:sz w:val="20"/>
          <w:szCs w:val="20"/>
        </w:rPr>
      </w:pPr>
      <w:r w:rsidRPr="00605B86">
        <w:rPr>
          <w:rFonts w:ascii="Tahoma" w:hAnsi="Tahoma" w:cs="Tahoma"/>
          <w:sz w:val="20"/>
          <w:szCs w:val="20"/>
        </w:rPr>
        <w:t xml:space="preserve">The Label </w:t>
      </w:r>
      <w:r w:rsidR="00605B86" w:rsidRPr="00605B86">
        <w:rPr>
          <w:rFonts w:ascii="Tahoma" w:hAnsi="Tahoma" w:cs="Tahoma"/>
          <w:sz w:val="20"/>
          <w:szCs w:val="20"/>
        </w:rPr>
        <w:t>indicates</w:t>
      </w:r>
      <w:r w:rsidRPr="00605B86">
        <w:rPr>
          <w:rFonts w:ascii="Tahoma" w:hAnsi="Tahoma" w:cs="Tahoma"/>
          <w:sz w:val="20"/>
          <w:szCs w:val="20"/>
        </w:rPr>
        <w:t xml:space="preserve"> the status of final Shippers of finished goods, which shall not </w:t>
      </w:r>
      <w:proofErr w:type="gramStart"/>
      <w:r w:rsidRPr="00605B86">
        <w:rPr>
          <w:rFonts w:ascii="Tahoma" w:hAnsi="Tahoma" w:cs="Tahoma"/>
          <w:sz w:val="20"/>
          <w:szCs w:val="20"/>
        </w:rPr>
        <w:t>having</w:t>
      </w:r>
      <w:proofErr w:type="gramEnd"/>
      <w:r w:rsidRPr="00605B86">
        <w:rPr>
          <w:rFonts w:ascii="Tahoma" w:hAnsi="Tahoma" w:cs="Tahoma"/>
          <w:sz w:val="20"/>
          <w:szCs w:val="20"/>
        </w:rPr>
        <w:t xml:space="preserve"> the standard quantity. The Label having half “RED” and half “WHITE” colour as shown in Annexure-VII.</w:t>
      </w:r>
    </w:p>
    <w:p w:rsidR="00605B86" w:rsidRPr="00605B86" w:rsidRDefault="00561EAB" w:rsidP="00605B86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</w:rPr>
      </w:pPr>
      <w:r w:rsidRPr="00605B86">
        <w:rPr>
          <w:rFonts w:ascii="Tahoma" w:hAnsi="Tahoma" w:cs="Tahoma"/>
          <w:b/>
          <w:sz w:val="20"/>
          <w:szCs w:val="20"/>
        </w:rPr>
        <w:t>UNDER MAINTENANCE:</w:t>
      </w:r>
    </w:p>
    <w:p w:rsidR="00605B86" w:rsidRDefault="00561EAB" w:rsidP="00605B86">
      <w:pPr>
        <w:pStyle w:val="ListParagraph"/>
        <w:spacing w:line="360" w:lineRule="auto"/>
        <w:ind w:left="1360"/>
        <w:rPr>
          <w:rFonts w:ascii="Tahoma" w:hAnsi="Tahoma" w:cs="Tahoma"/>
          <w:sz w:val="20"/>
          <w:szCs w:val="20"/>
        </w:rPr>
      </w:pPr>
      <w:r w:rsidRPr="00605B86">
        <w:rPr>
          <w:rFonts w:ascii="Tahoma" w:hAnsi="Tahoma" w:cs="Tahoma"/>
          <w:sz w:val="20"/>
          <w:szCs w:val="20"/>
        </w:rPr>
        <w:t xml:space="preserve">Container/Equipment required Maintenance work shall </w:t>
      </w:r>
      <w:r w:rsidR="00605B86" w:rsidRPr="00605B86">
        <w:rPr>
          <w:rFonts w:ascii="Tahoma" w:hAnsi="Tahoma" w:cs="Tahoma"/>
          <w:sz w:val="20"/>
          <w:szCs w:val="20"/>
        </w:rPr>
        <w:t>be Label</w:t>
      </w:r>
      <w:r w:rsidRPr="00605B86">
        <w:rPr>
          <w:rFonts w:ascii="Tahoma" w:hAnsi="Tahoma" w:cs="Tahoma"/>
          <w:sz w:val="20"/>
          <w:szCs w:val="20"/>
        </w:rPr>
        <w:t xml:space="preserve"> with “RED” </w:t>
      </w:r>
      <w:proofErr w:type="spellStart"/>
      <w:r w:rsidRPr="00605B86">
        <w:rPr>
          <w:rFonts w:ascii="Tahoma" w:hAnsi="Tahoma" w:cs="Tahoma"/>
          <w:sz w:val="20"/>
          <w:szCs w:val="20"/>
        </w:rPr>
        <w:t>colour</w:t>
      </w:r>
      <w:proofErr w:type="spellEnd"/>
      <w:r w:rsidRPr="00605B86">
        <w:rPr>
          <w:rFonts w:ascii="Tahoma" w:hAnsi="Tahoma" w:cs="Tahoma"/>
          <w:sz w:val="20"/>
          <w:szCs w:val="20"/>
        </w:rPr>
        <w:t xml:space="preserve"> label as shown in Annexure-VIII</w:t>
      </w:r>
      <w:r w:rsidR="00605B86">
        <w:rPr>
          <w:rFonts w:ascii="Tahoma" w:hAnsi="Tahoma" w:cs="Tahoma"/>
          <w:sz w:val="20"/>
          <w:szCs w:val="20"/>
        </w:rPr>
        <w:t>.</w:t>
      </w:r>
    </w:p>
    <w:p w:rsidR="00605B86" w:rsidRPr="00605B86" w:rsidRDefault="00561EAB" w:rsidP="00605B86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605B86">
        <w:rPr>
          <w:b/>
          <w:bCs/>
        </w:rPr>
        <w:t>ON- LINE REJECTION</w:t>
      </w:r>
      <w:r>
        <w:t>:</w:t>
      </w:r>
    </w:p>
    <w:p w:rsidR="00605B86" w:rsidRPr="00605B86" w:rsidRDefault="00561EAB" w:rsidP="00605B86">
      <w:pPr>
        <w:pStyle w:val="ListParagraph"/>
        <w:spacing w:line="360" w:lineRule="auto"/>
        <w:ind w:left="1360"/>
        <w:rPr>
          <w:rFonts w:ascii="Tahoma" w:hAnsi="Tahoma" w:cs="Tahoma"/>
          <w:sz w:val="20"/>
          <w:szCs w:val="20"/>
        </w:rPr>
      </w:pPr>
      <w:r>
        <w:t>The container containing on-line rejected product durin</w:t>
      </w:r>
      <w:r w:rsidR="00605B86">
        <w:t>g operation shall be labeled in</w:t>
      </w:r>
      <w:r>
        <w:t xml:space="preserve"> “RED” colour as shown in Annexure-IX.</w:t>
      </w:r>
    </w:p>
    <w:p w:rsidR="00605B86" w:rsidRPr="00605B86" w:rsidRDefault="00561EAB" w:rsidP="00605B86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605B86">
        <w:rPr>
          <w:b/>
          <w:bCs/>
        </w:rPr>
        <w:t>MATERIAL RETURN:</w:t>
      </w:r>
    </w:p>
    <w:p w:rsidR="00605B86" w:rsidRPr="00605B86" w:rsidRDefault="00561EAB" w:rsidP="00605B86">
      <w:pPr>
        <w:pStyle w:val="ListParagraph"/>
        <w:spacing w:line="360" w:lineRule="auto"/>
        <w:ind w:left="1360"/>
        <w:rPr>
          <w:rFonts w:ascii="Tahoma" w:hAnsi="Tahoma" w:cs="Tahoma"/>
          <w:sz w:val="20"/>
          <w:szCs w:val="20"/>
        </w:rPr>
      </w:pPr>
      <w:r>
        <w:t>The returnable material to Warehouse shall</w:t>
      </w:r>
      <w:r w:rsidR="00605B86">
        <w:t xml:space="preserve"> be labeled in “GREY’ </w:t>
      </w:r>
      <w:proofErr w:type="spellStart"/>
      <w:r w:rsidR="00605B86">
        <w:t>colour</w:t>
      </w:r>
      <w:proofErr w:type="spellEnd"/>
      <w:r w:rsidR="00605B86">
        <w:t xml:space="preserve"> as </w:t>
      </w:r>
      <w:r>
        <w:t>shown in Annexure-X.</w:t>
      </w:r>
    </w:p>
    <w:p w:rsidR="00605B86" w:rsidRPr="00605B86" w:rsidRDefault="00561EAB" w:rsidP="00605B86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605B86">
        <w:rPr>
          <w:b/>
          <w:bCs/>
        </w:rPr>
        <w:t>CALIBRATION</w:t>
      </w:r>
      <w:r w:rsidR="00605B86">
        <w:rPr>
          <w:b/>
          <w:bCs/>
        </w:rPr>
        <w:t>:</w:t>
      </w:r>
    </w:p>
    <w:p w:rsidR="00605B86" w:rsidRPr="00605B86" w:rsidRDefault="00561EAB" w:rsidP="00605B86">
      <w:pPr>
        <w:pStyle w:val="ListParagraph"/>
        <w:spacing w:line="360" w:lineRule="auto"/>
        <w:ind w:left="1360"/>
        <w:rPr>
          <w:rFonts w:ascii="Tahoma" w:hAnsi="Tahoma" w:cs="Tahoma"/>
          <w:sz w:val="20"/>
          <w:szCs w:val="20"/>
        </w:rPr>
      </w:pPr>
      <w:r>
        <w:t xml:space="preserve">Equipment after Calibration shall be labeled in “WHITE” </w:t>
      </w:r>
      <w:proofErr w:type="spellStart"/>
      <w:r>
        <w:t>colour</w:t>
      </w:r>
      <w:proofErr w:type="spellEnd"/>
      <w:r>
        <w:t xml:space="preserve"> as</w:t>
      </w:r>
      <w:r w:rsidR="00605B86">
        <w:t xml:space="preserve"> shown in Annexure-XI.</w:t>
      </w:r>
    </w:p>
    <w:p w:rsidR="00605B86" w:rsidRPr="00605B86" w:rsidRDefault="00561EAB" w:rsidP="00605B86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605B86">
        <w:rPr>
          <w:b/>
          <w:bCs/>
        </w:rPr>
        <w:t>PACKING SLIP:</w:t>
      </w:r>
    </w:p>
    <w:p w:rsidR="00605B86" w:rsidRPr="00605B86" w:rsidRDefault="00561EAB" w:rsidP="00605B86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>
        <w:t xml:space="preserve">Header in “PINK” and remaining portion in “WHITE” colour label shall be put in Shipper before final packing of finished goods as shown in Annexure-XII. </w:t>
      </w:r>
    </w:p>
    <w:p w:rsidR="00605B86" w:rsidRPr="00605B86" w:rsidRDefault="00561EAB" w:rsidP="00605B8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605B86">
        <w:rPr>
          <w:b/>
          <w:bCs/>
        </w:rPr>
        <w:t xml:space="preserve">ENCLOSURE   : </w:t>
      </w:r>
    </w:p>
    <w:p w:rsidR="00605B86" w:rsidRPr="00605B86" w:rsidRDefault="00561EAB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t>Annexu</w:t>
      </w:r>
      <w:r w:rsidR="00605B86">
        <w:t>re –I          Recoverable Labe</w:t>
      </w:r>
    </w:p>
    <w:p w:rsidR="00F167E5" w:rsidRPr="00F167E5" w:rsidRDefault="00561EAB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t>Annexure –II         Non Re</w:t>
      </w:r>
      <w:r w:rsidR="00F167E5">
        <w:t>coverable Label</w:t>
      </w:r>
    </w:p>
    <w:p w:rsidR="00F167E5" w:rsidRPr="00F167E5" w:rsidRDefault="00561EAB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t>Annexur</w:t>
      </w:r>
      <w:r w:rsidR="00F167E5">
        <w:t xml:space="preserve">e –III       </w:t>
      </w:r>
      <w:proofErr w:type="gramStart"/>
      <w:r w:rsidR="00F167E5">
        <w:t>To</w:t>
      </w:r>
      <w:proofErr w:type="gramEnd"/>
      <w:r w:rsidR="00F167E5">
        <w:t xml:space="preserve"> Be Cleaned Label</w:t>
      </w:r>
    </w:p>
    <w:p w:rsidR="003B05D0" w:rsidRPr="003B05D0" w:rsidRDefault="003B05D0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t>Annexure –IV       Cleaned Label</w:t>
      </w:r>
    </w:p>
    <w:p w:rsidR="003B05D0" w:rsidRPr="003B05D0" w:rsidRDefault="00561EAB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t>Annexure –V        Container Label</w:t>
      </w:r>
    </w:p>
    <w:p w:rsidR="003B05D0" w:rsidRPr="003B05D0" w:rsidRDefault="00561EAB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t>Annexure –VI       Status Label</w:t>
      </w:r>
    </w:p>
    <w:p w:rsidR="003B05D0" w:rsidRPr="003B05D0" w:rsidRDefault="003B05D0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t>Annexure –VII      Loose Box</w:t>
      </w:r>
    </w:p>
    <w:p w:rsidR="003B05D0" w:rsidRPr="003B05D0" w:rsidRDefault="00561EAB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t xml:space="preserve">Annexure –VIII    </w:t>
      </w:r>
      <w:r w:rsidR="00605B86">
        <w:t>under Maintenance</w:t>
      </w:r>
      <w:r>
        <w:t xml:space="preserve"> </w:t>
      </w:r>
    </w:p>
    <w:p w:rsidR="003B05D0" w:rsidRPr="003B05D0" w:rsidRDefault="00561EAB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t>Annexure –IX       On-Line Rejection Label</w:t>
      </w:r>
    </w:p>
    <w:p w:rsidR="003B05D0" w:rsidRPr="003B05D0" w:rsidRDefault="00561EAB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t>Annexure –X        Material Retur</w:t>
      </w:r>
      <w:r w:rsidR="003B05D0">
        <w:t>n</w:t>
      </w:r>
    </w:p>
    <w:p w:rsidR="003B05D0" w:rsidRPr="003B05D0" w:rsidRDefault="00561EAB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t>Annexure –XI       Calibration Tag</w:t>
      </w:r>
    </w:p>
    <w:p w:rsidR="003B05D0" w:rsidRPr="003B05D0" w:rsidRDefault="00561EAB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lastRenderedPageBreak/>
        <w:t xml:space="preserve">Annexure –XII      Packing Slip </w:t>
      </w:r>
    </w:p>
    <w:p w:rsidR="003B05D0" w:rsidRPr="003B05D0" w:rsidRDefault="00561EAB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t>Change History Log</w:t>
      </w:r>
    </w:p>
    <w:p w:rsidR="003B05D0" w:rsidRPr="003B05D0" w:rsidRDefault="00561EAB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t>SOP Training Record</w:t>
      </w:r>
    </w:p>
    <w:p w:rsidR="003B05D0" w:rsidRPr="003B05D0" w:rsidRDefault="00561EAB" w:rsidP="003B05D0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3B05D0">
        <w:rPr>
          <w:b/>
          <w:bCs/>
        </w:rPr>
        <w:t>ABBREVIATIONS:</w:t>
      </w:r>
    </w:p>
    <w:p w:rsidR="003B05D0" w:rsidRPr="003B05D0" w:rsidRDefault="00561EAB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t>SOP:</w:t>
      </w:r>
      <w:r>
        <w:tab/>
        <w:t xml:space="preserve">    Standard Operating Procedure</w:t>
      </w:r>
    </w:p>
    <w:p w:rsidR="003B05D0" w:rsidRPr="003B05D0" w:rsidRDefault="00561EAB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t>No. :</w:t>
      </w:r>
      <w:r>
        <w:tab/>
        <w:t xml:space="preserve">    Number</w:t>
      </w:r>
    </w:p>
    <w:p w:rsidR="00561EAB" w:rsidRPr="003B05D0" w:rsidRDefault="003B05D0" w:rsidP="003B05D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3B05D0">
        <w:rPr>
          <w:szCs w:val="28"/>
        </w:rPr>
        <w:t>IPQA:</w:t>
      </w:r>
      <w:r w:rsidR="00561EAB" w:rsidRPr="003B05D0">
        <w:rPr>
          <w:szCs w:val="28"/>
        </w:rPr>
        <w:t xml:space="preserve">        In process quality Assurance</w:t>
      </w:r>
    </w:p>
    <w:p w:rsidR="00561EAB" w:rsidRDefault="00561EAB" w:rsidP="00561EAB">
      <w:pPr>
        <w:rPr>
          <w:szCs w:val="28"/>
        </w:rPr>
      </w:pPr>
    </w:p>
    <w:p w:rsidR="00561EAB" w:rsidRDefault="00561EAB" w:rsidP="00561EAB">
      <w:pPr>
        <w:rPr>
          <w:szCs w:val="28"/>
        </w:rPr>
      </w:pPr>
    </w:p>
    <w:p w:rsidR="00561EAB" w:rsidRDefault="00561EAB" w:rsidP="00561EAB">
      <w:pPr>
        <w:rPr>
          <w:szCs w:val="28"/>
        </w:rPr>
      </w:pPr>
    </w:p>
    <w:p w:rsidR="00561EAB" w:rsidRDefault="00561EAB" w:rsidP="00561EAB">
      <w:pPr>
        <w:rPr>
          <w:sz w:val="28"/>
          <w:szCs w:val="28"/>
        </w:rPr>
      </w:pPr>
    </w:p>
    <w:p w:rsidR="00561EAB" w:rsidRPr="00561EAB" w:rsidRDefault="00561EAB" w:rsidP="00561EAB">
      <w:pPr>
        <w:pStyle w:val="DefaultText"/>
        <w:ind w:left="680"/>
      </w:pPr>
    </w:p>
    <w:sectPr w:rsidR="00561EAB" w:rsidRPr="00561EAB" w:rsidSect="0071499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5D0" w:rsidRDefault="003B05D0" w:rsidP="00714992">
      <w:pPr>
        <w:spacing w:after="0" w:line="240" w:lineRule="auto"/>
      </w:pPr>
      <w:r>
        <w:separator/>
      </w:r>
    </w:p>
  </w:endnote>
  <w:endnote w:type="continuationSeparator" w:id="1">
    <w:p w:rsidR="003B05D0" w:rsidRDefault="003B05D0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5D0" w:rsidRDefault="003B05D0" w:rsidP="008305F7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>________________________________________________________________________________________</w:t>
    </w:r>
    <w:r w:rsidRPr="000E0683">
      <w:rPr>
        <w:rFonts w:ascii="Tahoma" w:hAnsi="Tahoma" w:cs="Tahoma"/>
        <w:sz w:val="20"/>
      </w:rPr>
      <w:t xml:space="preserve"> </w:t>
    </w:r>
    <w:r>
      <w:rPr>
        <w:rFonts w:ascii="Tahoma" w:hAnsi="Tahoma" w:cs="Tahoma"/>
        <w:sz w:val="20"/>
      </w:rPr>
      <w:t xml:space="preserve">For restricted circulation only, </w:t>
    </w:r>
    <w:proofErr w:type="spellStart"/>
    <w:r>
      <w:rPr>
        <w:rFonts w:ascii="Tahoma" w:hAnsi="Tahoma" w:cs="Tahoma"/>
        <w:sz w:val="20"/>
      </w:rPr>
      <w:t>Alkem</w:t>
    </w:r>
    <w:proofErr w:type="spellEnd"/>
    <w:r>
      <w:rPr>
        <w:rFonts w:ascii="Tahoma" w:hAnsi="Tahoma" w:cs="Tahoma"/>
        <w:sz w:val="20"/>
      </w:rPr>
      <w:t xml:space="preserve"> Laboratories Ltd, </w:t>
    </w:r>
    <w:proofErr w:type="spellStart"/>
    <w:r>
      <w:rPr>
        <w:rFonts w:ascii="Tahoma" w:hAnsi="Tahoma" w:cs="Tahoma"/>
        <w:sz w:val="20"/>
      </w:rPr>
      <w:t>Baddi</w:t>
    </w:r>
    <w:proofErr w:type="spellEnd"/>
    <w:r>
      <w:rPr>
        <w:rFonts w:ascii="Tahoma" w:hAnsi="Tahoma" w:cs="Tahoma"/>
        <w:sz w:val="20"/>
      </w:rPr>
      <w:t xml:space="preserve"> Unit – II – Page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>
      <w:rPr>
        <w:rFonts w:ascii="Tahoma" w:hAnsi="Tahoma" w:cs="Tahoma"/>
        <w:sz w:val="20"/>
      </w:rPr>
      <w:fldChar w:fldCharType="separate"/>
    </w:r>
    <w:r w:rsidR="00A90D68">
      <w:rPr>
        <w:rFonts w:ascii="Tahoma" w:hAnsi="Tahoma" w:cs="Tahoma"/>
        <w:noProof/>
        <w:sz w:val="20"/>
      </w:rPr>
      <w:t>2</w:t>
    </w:r>
    <w:r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>
      <w:rPr>
        <w:rFonts w:ascii="Tahoma" w:hAnsi="Tahoma" w:cs="Tahoma"/>
        <w:sz w:val="20"/>
      </w:rPr>
      <w:fldChar w:fldCharType="separate"/>
    </w:r>
    <w:r w:rsidR="00A90D68">
      <w:rPr>
        <w:rFonts w:ascii="Tahoma" w:hAnsi="Tahoma" w:cs="Tahoma"/>
        <w:noProof/>
        <w:sz w:val="20"/>
      </w:rPr>
      <w:t>3</w:t>
    </w:r>
    <w:r>
      <w:rPr>
        <w:rFonts w:ascii="Tahoma" w:hAnsi="Tahoma" w:cs="Tahoma"/>
        <w:sz w:val="20"/>
      </w:rPr>
      <w:fldChar w:fldCharType="end"/>
    </w:r>
  </w:p>
  <w:p w:rsidR="003B05D0" w:rsidRPr="00707542" w:rsidRDefault="003B05D0" w:rsidP="008305F7">
    <w:pPr>
      <w:pStyle w:val="Footer"/>
      <w:rPr>
        <w:rFonts w:ascii="Tahoma" w:hAnsi="Tahoma" w:cs="Tahoma"/>
        <w:sz w:val="20"/>
      </w:rPr>
    </w:pPr>
  </w:p>
  <w:p w:rsidR="003B05D0" w:rsidRDefault="003B05D0" w:rsidP="008305F7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  <w:p w:rsidR="003B05D0" w:rsidRDefault="003B05D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5D0" w:rsidRDefault="003B05D0" w:rsidP="00C71271">
    <w:pPr>
      <w:spacing w:line="360" w:lineRule="auto"/>
      <w:jc w:val="center"/>
      <w:rPr>
        <w:rFonts w:ascii="Tahoma" w:hAnsi="Tahoma" w:cs="Tahoma"/>
        <w:sz w:val="20"/>
        <w:szCs w:val="20"/>
      </w:rPr>
    </w:pPr>
    <w:r w:rsidRPr="001C1289">
      <w:rPr>
        <w:rFonts w:ascii="Tahoma" w:hAnsi="Tahoma" w:cs="Tahoma"/>
        <w:sz w:val="20"/>
        <w:szCs w:val="20"/>
      </w:rPr>
      <w:t xml:space="preserve">________________________________________________________________________________________ For restricted circulation only, </w:t>
    </w:r>
    <w:proofErr w:type="spellStart"/>
    <w:r w:rsidRPr="001C1289">
      <w:rPr>
        <w:rFonts w:ascii="Tahoma" w:hAnsi="Tahoma" w:cs="Tahoma"/>
        <w:sz w:val="20"/>
        <w:szCs w:val="20"/>
      </w:rPr>
      <w:t>Alkem</w:t>
    </w:r>
    <w:proofErr w:type="spellEnd"/>
    <w:r w:rsidRPr="001C1289">
      <w:rPr>
        <w:rFonts w:ascii="Tahoma" w:hAnsi="Tahoma" w:cs="Tahoma"/>
        <w:sz w:val="20"/>
        <w:szCs w:val="20"/>
      </w:rPr>
      <w:t xml:space="preserve"> Laboratories Ltd, </w:t>
    </w:r>
    <w:proofErr w:type="spellStart"/>
    <w:r w:rsidRPr="001C1289">
      <w:rPr>
        <w:rFonts w:ascii="Tahoma" w:hAnsi="Tahoma" w:cs="Tahoma"/>
        <w:sz w:val="20"/>
        <w:szCs w:val="20"/>
      </w:rPr>
      <w:t>Baddi</w:t>
    </w:r>
    <w:proofErr w:type="spellEnd"/>
    <w:r w:rsidRPr="001C1289">
      <w:rPr>
        <w:rFonts w:ascii="Tahoma" w:hAnsi="Tahoma" w:cs="Tahoma"/>
        <w:sz w:val="20"/>
        <w:szCs w:val="20"/>
      </w:rPr>
      <w:t xml:space="preserve"> Unit – II – Page </w:t>
    </w:r>
    <w:r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PAGE </w:instrText>
    </w:r>
    <w:r w:rsidRPr="001C1289">
      <w:rPr>
        <w:rFonts w:ascii="Tahoma" w:hAnsi="Tahoma" w:cs="Tahoma"/>
        <w:sz w:val="20"/>
        <w:szCs w:val="20"/>
      </w:rPr>
      <w:fldChar w:fldCharType="separate"/>
    </w:r>
    <w:r w:rsidR="00A90D68">
      <w:rPr>
        <w:rFonts w:ascii="Tahoma" w:hAnsi="Tahoma" w:cs="Tahoma"/>
        <w:noProof/>
        <w:sz w:val="20"/>
        <w:szCs w:val="20"/>
      </w:rPr>
      <w:t>1</w:t>
    </w:r>
    <w:r w:rsidRPr="001C1289">
      <w:rPr>
        <w:rFonts w:ascii="Tahoma" w:hAnsi="Tahoma" w:cs="Tahoma"/>
        <w:sz w:val="20"/>
        <w:szCs w:val="20"/>
      </w:rPr>
      <w:fldChar w:fldCharType="end"/>
    </w:r>
    <w:r w:rsidRPr="001C1289">
      <w:rPr>
        <w:rFonts w:ascii="Tahoma" w:hAnsi="Tahoma" w:cs="Tahoma"/>
        <w:sz w:val="20"/>
        <w:szCs w:val="20"/>
      </w:rPr>
      <w:t xml:space="preserve"> of </w:t>
    </w:r>
    <w:r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NUMPAGES </w:instrText>
    </w:r>
    <w:r w:rsidRPr="001C1289">
      <w:rPr>
        <w:rFonts w:ascii="Tahoma" w:hAnsi="Tahoma" w:cs="Tahoma"/>
        <w:sz w:val="20"/>
        <w:szCs w:val="20"/>
      </w:rPr>
      <w:fldChar w:fldCharType="separate"/>
    </w:r>
    <w:r w:rsidR="00A90D68">
      <w:rPr>
        <w:rFonts w:ascii="Tahoma" w:hAnsi="Tahoma" w:cs="Tahoma"/>
        <w:noProof/>
        <w:sz w:val="20"/>
        <w:szCs w:val="20"/>
      </w:rPr>
      <w:t>3</w:t>
    </w:r>
    <w:r w:rsidRPr="001C1289">
      <w:rPr>
        <w:rFonts w:ascii="Tahoma" w:hAnsi="Tahoma" w:cs="Tahoma"/>
        <w:sz w:val="20"/>
        <w:szCs w:val="20"/>
      </w:rPr>
      <w:fldChar w:fldCharType="end"/>
    </w:r>
  </w:p>
  <w:p w:rsidR="003B05D0" w:rsidRPr="00C71271" w:rsidRDefault="003B05D0" w:rsidP="00C71271">
    <w:pPr>
      <w:spacing w:line="360" w:lineRule="auto"/>
      <w:rPr>
        <w:rFonts w:ascii="Tahoma" w:hAnsi="Tahoma" w:cs="Tahoma"/>
        <w:sz w:val="16"/>
        <w:szCs w:val="16"/>
      </w:rPr>
    </w:pPr>
    <w:r w:rsidRPr="001C1289">
      <w:rPr>
        <w:rFonts w:ascii="Tahoma" w:hAnsi="Tahoma" w:cs="Tahoma"/>
        <w:sz w:val="20"/>
        <w:szCs w:val="20"/>
      </w:rPr>
      <w:t xml:space="preserve"> </w:t>
    </w:r>
    <w:r w:rsidRPr="00C71271">
      <w:rPr>
        <w:rFonts w:ascii="Tahoma" w:hAnsi="Tahoma" w:cs="Tahoma"/>
        <w:sz w:val="16"/>
        <w:szCs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5D0" w:rsidRDefault="003B05D0" w:rsidP="00714992">
      <w:pPr>
        <w:spacing w:after="0" w:line="240" w:lineRule="auto"/>
      </w:pPr>
      <w:r>
        <w:separator/>
      </w:r>
    </w:p>
  </w:footnote>
  <w:footnote w:type="continuationSeparator" w:id="1">
    <w:p w:rsidR="003B05D0" w:rsidRDefault="003B05D0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4A0"/>
    </w:tblPr>
    <w:tblGrid>
      <w:gridCol w:w="1384"/>
      <w:gridCol w:w="2557"/>
      <w:gridCol w:w="1971"/>
      <w:gridCol w:w="1971"/>
      <w:gridCol w:w="1971"/>
    </w:tblGrid>
    <w:tr w:rsidR="003B05D0" w:rsidRPr="00C71271" w:rsidTr="00561EAB">
      <w:tc>
        <w:tcPr>
          <w:tcW w:w="7883" w:type="dxa"/>
          <w:gridSpan w:val="4"/>
        </w:tcPr>
        <w:p w:rsidR="003B05D0" w:rsidRDefault="003B05D0" w:rsidP="00EE29AF">
          <w:pPr>
            <w:spacing w:line="360" w:lineRule="auto"/>
          </w:pPr>
          <w:r w:rsidRPr="00C71271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C71271">
            <w:rPr>
              <w:rFonts w:ascii="Tahoma" w:hAnsi="Tahoma" w:cs="Tahoma"/>
              <w:sz w:val="20"/>
              <w:szCs w:val="20"/>
            </w:rPr>
            <w:t xml:space="preserve"> </w:t>
          </w:r>
          <w:r>
            <w:t xml:space="preserve">To lay down a procedure for Operation and Cleaning of  Automatic Capsule  </w:t>
          </w:r>
        </w:p>
        <w:p w:rsidR="003B05D0" w:rsidRPr="00C71271" w:rsidRDefault="003B05D0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t xml:space="preserve">            Filling Machine(AF-150)</w:t>
          </w:r>
        </w:p>
      </w:tc>
      <w:tc>
        <w:tcPr>
          <w:tcW w:w="1971" w:type="dxa"/>
          <w:vMerge w:val="restart"/>
        </w:tcPr>
        <w:p w:rsidR="003B05D0" w:rsidRPr="00C71271" w:rsidRDefault="003B05D0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B05D0" w:rsidRPr="00C71271" w:rsidTr="00183312">
      <w:tc>
        <w:tcPr>
          <w:tcW w:w="1384" w:type="dxa"/>
        </w:tcPr>
        <w:p w:rsidR="003B05D0" w:rsidRPr="00C71271" w:rsidRDefault="003B05D0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2557" w:type="dxa"/>
        </w:tcPr>
        <w:p w:rsidR="003B05D0" w:rsidRPr="00C71271" w:rsidRDefault="003B05D0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BP001</w:t>
          </w:r>
        </w:p>
      </w:tc>
      <w:tc>
        <w:tcPr>
          <w:tcW w:w="1971" w:type="dxa"/>
        </w:tcPr>
        <w:p w:rsidR="003B05D0" w:rsidRPr="00C71271" w:rsidRDefault="003B05D0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71" w:type="dxa"/>
        </w:tcPr>
        <w:p w:rsidR="003B05D0" w:rsidRPr="00C71271" w:rsidRDefault="003B05D0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1971" w:type="dxa"/>
          <w:vMerge/>
        </w:tcPr>
        <w:p w:rsidR="003B05D0" w:rsidRPr="00C71271" w:rsidRDefault="003B05D0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B05D0" w:rsidRDefault="003B05D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B05D0" w:rsidRPr="001C1289" w:rsidTr="00561EAB">
      <w:trPr>
        <w:jc w:val="center"/>
      </w:trPr>
      <w:tc>
        <w:tcPr>
          <w:tcW w:w="1080" w:type="dxa"/>
          <w:vAlign w:val="center"/>
        </w:tcPr>
        <w:p w:rsidR="003B05D0" w:rsidRPr="001C1289" w:rsidRDefault="003B05D0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88489608" r:id="rId2"/>
            </w:object>
          </w:r>
        </w:p>
      </w:tc>
      <w:tc>
        <w:tcPr>
          <w:tcW w:w="8774" w:type="dxa"/>
          <w:gridSpan w:val="5"/>
          <w:vAlign w:val="center"/>
        </w:tcPr>
        <w:p w:rsidR="003B05D0" w:rsidRPr="001C1289" w:rsidRDefault="003B05D0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ALKEM LABORATORIES LTD., BADDI, UNIT – II.</w:t>
          </w:r>
        </w:p>
      </w:tc>
    </w:tr>
    <w:tr w:rsidR="003B05D0" w:rsidRPr="001C1289" w:rsidTr="00561EAB">
      <w:trPr>
        <w:jc w:val="center"/>
      </w:trPr>
      <w:tc>
        <w:tcPr>
          <w:tcW w:w="9854" w:type="dxa"/>
          <w:gridSpan w:val="6"/>
          <w:vAlign w:val="center"/>
        </w:tcPr>
        <w:p w:rsidR="003B05D0" w:rsidRPr="001C1289" w:rsidRDefault="003B05D0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B05D0" w:rsidRPr="001C1289" w:rsidTr="00561EAB">
      <w:trPr>
        <w:jc w:val="center"/>
      </w:trPr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C1289">
            <w:rPr>
              <w:rFonts w:ascii="Tahoma" w:hAnsi="Tahoma" w:cs="Tahoma"/>
              <w:sz w:val="20"/>
              <w:szCs w:val="20"/>
            </w:rPr>
            <w:t xml:space="preserve"> </w:t>
          </w:r>
          <w:r>
            <w:t xml:space="preserve">To lay down the procedure for </w:t>
          </w:r>
          <w:proofErr w:type="spellStart"/>
          <w:r>
            <w:t>Labeling</w:t>
          </w:r>
          <w:proofErr w:type="spellEnd"/>
          <w:r>
            <w:t xml:space="preserve"> of Equipment/Container and colour coding of Labels.  </w:t>
          </w:r>
        </w:p>
      </w:tc>
    </w:tr>
    <w:tr w:rsidR="003B05D0" w:rsidRPr="001C1289" w:rsidTr="00561EAB">
      <w:trPr>
        <w:jc w:val="center"/>
      </w:trPr>
      <w:tc>
        <w:tcPr>
          <w:tcW w:w="1988" w:type="dxa"/>
          <w:gridSpan w:val="2"/>
          <w:vAlign w:val="center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B05D0" w:rsidRPr="00C24444" w:rsidRDefault="003B05D0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C24444">
            <w:rPr>
              <w:rFonts w:ascii="Tahoma" w:hAnsi="Tahoma" w:cs="Tahoma"/>
              <w:sz w:val="20"/>
              <w:szCs w:val="20"/>
            </w:rPr>
            <w:t>BP001</w:t>
          </w:r>
        </w:p>
      </w:tc>
      <w:tc>
        <w:tcPr>
          <w:tcW w:w="2008" w:type="dxa"/>
          <w:vAlign w:val="center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B05D0" w:rsidRPr="001C1289" w:rsidTr="00561EAB">
      <w:trPr>
        <w:jc w:val="center"/>
      </w:trPr>
      <w:tc>
        <w:tcPr>
          <w:tcW w:w="1988" w:type="dxa"/>
          <w:gridSpan w:val="2"/>
          <w:vAlign w:val="center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B05D0" w:rsidRPr="001C1289" w:rsidTr="00561EAB">
      <w:trPr>
        <w:jc w:val="center"/>
      </w:trPr>
      <w:tc>
        <w:tcPr>
          <w:tcW w:w="1988" w:type="dxa"/>
          <w:gridSpan w:val="2"/>
          <w:vAlign w:val="center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B05D0" w:rsidRPr="00C677EB" w:rsidRDefault="003B05D0" w:rsidP="00BD1788">
    <w:pPr>
      <w:pStyle w:val="Heading6"/>
      <w:spacing w:line="360" w:lineRule="auto"/>
      <w:rPr>
        <w:rFonts w:ascii="Tahoma" w:hAnsi="Tahoma" w:cs="Tahoma"/>
        <w:sz w:val="20"/>
        <w:szCs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B05D0" w:rsidRPr="001C1289" w:rsidTr="00EB0CF1">
      <w:trPr>
        <w:jc w:val="center"/>
      </w:trPr>
      <w:tc>
        <w:tcPr>
          <w:tcW w:w="1988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B05D0" w:rsidRPr="001C1289" w:rsidTr="00EB0CF1">
      <w:trPr>
        <w:jc w:val="center"/>
      </w:trPr>
      <w:tc>
        <w:tcPr>
          <w:tcW w:w="1988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1945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B05D0" w:rsidRPr="001C1289" w:rsidTr="00EB0CF1">
      <w:trPr>
        <w:jc w:val="center"/>
      </w:trPr>
      <w:tc>
        <w:tcPr>
          <w:tcW w:w="1988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B05D0" w:rsidRPr="001C1289" w:rsidTr="00EB0CF1">
      <w:trPr>
        <w:jc w:val="center"/>
      </w:trPr>
      <w:tc>
        <w:tcPr>
          <w:tcW w:w="1988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B05D0" w:rsidRPr="001C1289" w:rsidTr="00EB0CF1">
      <w:trPr>
        <w:jc w:val="center"/>
      </w:trPr>
      <w:tc>
        <w:tcPr>
          <w:tcW w:w="1988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Designation</w:t>
          </w:r>
        </w:p>
      </w:tc>
      <w:tc>
        <w:tcPr>
          <w:tcW w:w="1945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B05D0" w:rsidRPr="001C1289" w:rsidRDefault="003B05D0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B05D0" w:rsidRDefault="003B05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22D2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">
    <w:nsid w:val="10524134"/>
    <w:multiLevelType w:val="multilevel"/>
    <w:tmpl w:val="38A46A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0C61EEE"/>
    <w:multiLevelType w:val="hybridMultilevel"/>
    <w:tmpl w:val="78246A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5">
    <w:nsid w:val="16C24CFD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8170E"/>
    <w:multiLevelType w:val="multilevel"/>
    <w:tmpl w:val="2E48CEE6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7">
    <w:nsid w:val="194C3387"/>
    <w:multiLevelType w:val="multilevel"/>
    <w:tmpl w:val="A9B4CF7C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8">
    <w:nsid w:val="2B911344"/>
    <w:multiLevelType w:val="multilevel"/>
    <w:tmpl w:val="8702E64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9">
    <w:nsid w:val="2C2D011F"/>
    <w:multiLevelType w:val="hybridMultilevel"/>
    <w:tmpl w:val="69F453E2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327323D1"/>
    <w:multiLevelType w:val="hybridMultilevel"/>
    <w:tmpl w:val="86FE2A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2">
    <w:nsid w:val="367439C8"/>
    <w:multiLevelType w:val="multilevel"/>
    <w:tmpl w:val="B5CABB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13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4">
    <w:nsid w:val="3718540E"/>
    <w:multiLevelType w:val="hybridMultilevel"/>
    <w:tmpl w:val="C276DC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A6040"/>
    <w:multiLevelType w:val="hybridMultilevel"/>
    <w:tmpl w:val="85E629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BE1523"/>
    <w:multiLevelType w:val="hybridMultilevel"/>
    <w:tmpl w:val="098EE9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8E039F"/>
    <w:multiLevelType w:val="multilevel"/>
    <w:tmpl w:val="9A0E767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8">
    <w:nsid w:val="3F9333CA"/>
    <w:multiLevelType w:val="multilevel"/>
    <w:tmpl w:val="205837D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>
    <w:nsid w:val="41E945C2"/>
    <w:multiLevelType w:val="multilevel"/>
    <w:tmpl w:val="CDD291CA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4D5573D1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557E064D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>
    <w:nsid w:val="59D91E26"/>
    <w:multiLevelType w:val="multilevel"/>
    <w:tmpl w:val="917012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1">
      <w:start w:val="12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3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415815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EC3073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7">
    <w:nsid w:val="772B7915"/>
    <w:multiLevelType w:val="multilevel"/>
    <w:tmpl w:val="FE98C4A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30"/>
        </w:tabs>
        <w:ind w:left="153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160"/>
        </w:tabs>
        <w:ind w:left="21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26"/>
  </w:num>
  <w:num w:numId="5">
    <w:abstractNumId w:val="3"/>
  </w:num>
  <w:num w:numId="6">
    <w:abstractNumId w:val="13"/>
  </w:num>
  <w:num w:numId="7">
    <w:abstractNumId w:val="23"/>
  </w:num>
  <w:num w:numId="8">
    <w:abstractNumId w:val="1"/>
  </w:num>
  <w:num w:numId="9">
    <w:abstractNumId w:val="0"/>
  </w:num>
  <w:num w:numId="10">
    <w:abstractNumId w:val="20"/>
  </w:num>
  <w:num w:numId="11">
    <w:abstractNumId w:val="27"/>
  </w:num>
  <w:num w:numId="12">
    <w:abstractNumId w:val="21"/>
  </w:num>
  <w:num w:numId="13">
    <w:abstractNumId w:val="25"/>
  </w:num>
  <w:num w:numId="14">
    <w:abstractNumId w:val="19"/>
  </w:num>
  <w:num w:numId="15">
    <w:abstractNumId w:val="18"/>
  </w:num>
  <w:num w:numId="16">
    <w:abstractNumId w:val="8"/>
  </w:num>
  <w:num w:numId="17">
    <w:abstractNumId w:val="7"/>
  </w:num>
  <w:num w:numId="18">
    <w:abstractNumId w:val="9"/>
  </w:num>
  <w:num w:numId="19">
    <w:abstractNumId w:val="16"/>
  </w:num>
  <w:num w:numId="20">
    <w:abstractNumId w:val="2"/>
  </w:num>
  <w:num w:numId="21">
    <w:abstractNumId w:val="15"/>
  </w:num>
  <w:num w:numId="22">
    <w:abstractNumId w:val="10"/>
  </w:num>
  <w:num w:numId="23">
    <w:abstractNumId w:val="14"/>
  </w:num>
  <w:num w:numId="24">
    <w:abstractNumId w:val="5"/>
  </w:num>
  <w:num w:numId="25">
    <w:abstractNumId w:val="24"/>
  </w:num>
  <w:num w:numId="26">
    <w:abstractNumId w:val="6"/>
  </w:num>
  <w:num w:numId="27">
    <w:abstractNumId w:val="12"/>
  </w:num>
  <w:num w:numId="2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A788F"/>
    <w:rsid w:val="00123FF0"/>
    <w:rsid w:val="00171C3A"/>
    <w:rsid w:val="00183312"/>
    <w:rsid w:val="001C1289"/>
    <w:rsid w:val="0028045A"/>
    <w:rsid w:val="00323426"/>
    <w:rsid w:val="003B05D0"/>
    <w:rsid w:val="003C7272"/>
    <w:rsid w:val="0041712A"/>
    <w:rsid w:val="00425E8C"/>
    <w:rsid w:val="00432B31"/>
    <w:rsid w:val="004411BF"/>
    <w:rsid w:val="00444A39"/>
    <w:rsid w:val="004549D0"/>
    <w:rsid w:val="004A57B2"/>
    <w:rsid w:val="005148D6"/>
    <w:rsid w:val="005254E0"/>
    <w:rsid w:val="00533758"/>
    <w:rsid w:val="00540CE5"/>
    <w:rsid w:val="00561EAB"/>
    <w:rsid w:val="00570226"/>
    <w:rsid w:val="00590568"/>
    <w:rsid w:val="005A5C9E"/>
    <w:rsid w:val="005A74C2"/>
    <w:rsid w:val="00600C1D"/>
    <w:rsid w:val="00605B86"/>
    <w:rsid w:val="00624200"/>
    <w:rsid w:val="00673031"/>
    <w:rsid w:val="006829A0"/>
    <w:rsid w:val="0069323A"/>
    <w:rsid w:val="00694FEC"/>
    <w:rsid w:val="00695DAB"/>
    <w:rsid w:val="00696F08"/>
    <w:rsid w:val="006B1EC8"/>
    <w:rsid w:val="006B423D"/>
    <w:rsid w:val="006C2D30"/>
    <w:rsid w:val="00714992"/>
    <w:rsid w:val="00726DCE"/>
    <w:rsid w:val="007C055E"/>
    <w:rsid w:val="007E4E5F"/>
    <w:rsid w:val="007E5CC0"/>
    <w:rsid w:val="007F4C52"/>
    <w:rsid w:val="007F5D13"/>
    <w:rsid w:val="00801B73"/>
    <w:rsid w:val="00814E2E"/>
    <w:rsid w:val="008305F7"/>
    <w:rsid w:val="00895DD6"/>
    <w:rsid w:val="008A7230"/>
    <w:rsid w:val="008D3A08"/>
    <w:rsid w:val="008E2E89"/>
    <w:rsid w:val="00921214"/>
    <w:rsid w:val="00A2708A"/>
    <w:rsid w:val="00A90D68"/>
    <w:rsid w:val="00AA0D4B"/>
    <w:rsid w:val="00AA59C8"/>
    <w:rsid w:val="00AA6458"/>
    <w:rsid w:val="00B34DCF"/>
    <w:rsid w:val="00B51758"/>
    <w:rsid w:val="00BD1788"/>
    <w:rsid w:val="00C24444"/>
    <w:rsid w:val="00C677EB"/>
    <w:rsid w:val="00C71271"/>
    <w:rsid w:val="00D84281"/>
    <w:rsid w:val="00DB79FD"/>
    <w:rsid w:val="00E51A49"/>
    <w:rsid w:val="00E523AB"/>
    <w:rsid w:val="00EB0CF1"/>
    <w:rsid w:val="00EB65A8"/>
    <w:rsid w:val="00EC3EBF"/>
    <w:rsid w:val="00EE29AF"/>
    <w:rsid w:val="00EE72C5"/>
    <w:rsid w:val="00F167E5"/>
    <w:rsid w:val="00F869C8"/>
    <w:rsid w:val="00FA1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0A78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78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78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semiHidden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A78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88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788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">
    <w:name w:val="Body Text"/>
    <w:basedOn w:val="Normal"/>
    <w:link w:val="BodyTextChar"/>
    <w:uiPriority w:val="99"/>
    <w:semiHidden/>
    <w:unhideWhenUsed/>
    <w:rsid w:val="000A78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A78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54</cp:revision>
  <cp:lastPrinted>2012-01-03T11:05:00Z</cp:lastPrinted>
  <dcterms:created xsi:type="dcterms:W3CDTF">2011-12-30T03:26:00Z</dcterms:created>
  <dcterms:modified xsi:type="dcterms:W3CDTF">2012-01-19T09:17:00Z</dcterms:modified>
</cp:coreProperties>
</file>